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right"/>
        <w:rPr>
          <w:rFonts w:ascii="仿宋_GB2312" w:eastAsia="仿宋_GB2312"/>
        </w:rPr>
      </w:pPr>
    </w:p>
    <w:p>
      <w:pPr>
        <w:snapToGrid w:val="0"/>
        <w:spacing w:line="360" w:lineRule="auto"/>
        <w:jc w:val="center"/>
        <w:textAlignment w:val="baseline"/>
        <w:rPr>
          <w:rFonts w:eastAsiaTheme="minorEastAsia"/>
          <w:b/>
          <w:sz w:val="40"/>
          <w:szCs w:val="44"/>
        </w:rPr>
      </w:pPr>
      <w:r>
        <w:rPr>
          <w:rFonts w:hint="eastAsia" w:eastAsiaTheme="minorEastAsia"/>
          <w:b/>
          <w:sz w:val="40"/>
          <w:szCs w:val="44"/>
        </w:rPr>
        <w:t>生态学院研究生奖学金评选实施细则</w:t>
      </w:r>
    </w:p>
    <w:p>
      <w:pPr>
        <w:snapToGrid w:val="0"/>
        <w:spacing w:line="360" w:lineRule="auto"/>
        <w:jc w:val="center"/>
        <w:textAlignment w:val="baseline"/>
        <w:rPr>
          <w:rFonts w:eastAsiaTheme="minorEastAsia"/>
          <w:b/>
          <w:sz w:val="40"/>
          <w:szCs w:val="44"/>
        </w:rPr>
      </w:pPr>
      <w:r>
        <w:rPr>
          <w:rFonts w:eastAsiaTheme="minorEastAsia"/>
          <w:b/>
          <w:sz w:val="40"/>
          <w:szCs w:val="44"/>
        </w:rPr>
        <w:t>（</w:t>
      </w:r>
      <w:r>
        <w:rPr>
          <w:rFonts w:hint="eastAsia" w:eastAsiaTheme="minorEastAsia"/>
          <w:b/>
          <w:sz w:val="40"/>
          <w:szCs w:val="44"/>
        </w:rPr>
        <w:t>试行</w:t>
      </w:r>
      <w:r>
        <w:rPr>
          <w:rFonts w:eastAsiaTheme="minorEastAsia"/>
          <w:b/>
          <w:sz w:val="40"/>
          <w:szCs w:val="44"/>
        </w:rPr>
        <w:t>）</w:t>
      </w:r>
    </w:p>
    <w:p>
      <w:pPr>
        <w:snapToGrid w:val="0"/>
        <w:spacing w:line="360" w:lineRule="auto"/>
        <w:jc w:val="center"/>
        <w:textAlignment w:val="baseline"/>
        <w:rPr>
          <w:rFonts w:eastAsiaTheme="minorEastAsia"/>
          <w:b/>
          <w:sz w:val="24"/>
        </w:rPr>
      </w:pPr>
    </w:p>
    <w:p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第一章 </w:t>
      </w:r>
      <w:r>
        <w:rPr>
          <w:rFonts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>总    则</w:t>
      </w:r>
    </w:p>
    <w:p>
      <w:pPr>
        <w:snapToGrid w:val="0"/>
        <w:spacing w:line="360" w:lineRule="auto"/>
        <w:ind w:firstLine="640" w:firstLineChars="200"/>
        <w:textAlignment w:val="baseline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第一条 </w:t>
      </w:r>
      <w:r>
        <w:rPr>
          <w:rFonts w:ascii="仿宋" w:hAnsi="仿宋" w:eastAsia="仿宋"/>
          <w:kern w:val="0"/>
          <w:sz w:val="32"/>
          <w:szCs w:val="32"/>
        </w:rPr>
        <w:t xml:space="preserve"> </w:t>
      </w:r>
      <w:r>
        <w:rPr>
          <w:rFonts w:ascii="仿宋" w:hAnsi="仿宋" w:eastAsia="仿宋"/>
          <w:sz w:val="32"/>
          <w:szCs w:val="32"/>
        </w:rPr>
        <w:t>为</w:t>
      </w:r>
      <w:r>
        <w:rPr>
          <w:rFonts w:hint="eastAsia" w:ascii="仿宋" w:hAnsi="仿宋" w:eastAsia="仿宋"/>
          <w:kern w:val="0"/>
          <w:sz w:val="32"/>
          <w:szCs w:val="32"/>
        </w:rPr>
        <w:t>鼓励</w:t>
      </w:r>
      <w:r>
        <w:rPr>
          <w:rFonts w:ascii="仿宋" w:hAnsi="仿宋" w:eastAsia="仿宋"/>
          <w:sz w:val="32"/>
          <w:szCs w:val="32"/>
        </w:rPr>
        <w:t>我院</w:t>
      </w:r>
      <w:r>
        <w:rPr>
          <w:rFonts w:hint="eastAsia" w:ascii="仿宋" w:hAnsi="仿宋" w:eastAsia="仿宋"/>
          <w:kern w:val="0"/>
          <w:sz w:val="32"/>
          <w:szCs w:val="32"/>
        </w:rPr>
        <w:t>研究生勤奋学习、全面发展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结合《中山大学研究生奖助规定</w:t>
      </w:r>
      <w:r>
        <w:rPr>
          <w:rFonts w:ascii="仿宋" w:hAnsi="仿宋" w:eastAsia="仿宋"/>
          <w:sz w:val="32"/>
          <w:szCs w:val="32"/>
        </w:rPr>
        <w:t>》</w:t>
      </w:r>
      <w:r>
        <w:rPr>
          <w:rFonts w:hint="eastAsia" w:ascii="仿宋" w:hAnsi="仿宋" w:eastAsia="仿宋"/>
          <w:sz w:val="32"/>
          <w:szCs w:val="32"/>
        </w:rPr>
        <w:t>（中大研院〔2018〕269号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和《中山大学研究生奖助规定实施细则》（中大研院〔2019〕94号</w:t>
      </w:r>
      <w:r>
        <w:rPr>
          <w:rFonts w:ascii="仿宋" w:hAnsi="仿宋" w:eastAsia="仿宋"/>
          <w:sz w:val="32"/>
          <w:szCs w:val="32"/>
        </w:rPr>
        <w:t>）文件精神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特制定本</w:t>
      </w:r>
      <w:r>
        <w:rPr>
          <w:rFonts w:hint="eastAsia" w:ascii="仿宋" w:hAnsi="仿宋" w:eastAsia="仿宋"/>
          <w:sz w:val="32"/>
          <w:szCs w:val="32"/>
        </w:rPr>
        <w:t>细则</w:t>
      </w:r>
      <w:r>
        <w:rPr>
          <w:rFonts w:ascii="仿宋" w:hAnsi="仿宋" w:eastAsia="仿宋"/>
          <w:kern w:val="0"/>
          <w:sz w:val="32"/>
          <w:szCs w:val="32"/>
        </w:rPr>
        <w:t>。</w:t>
      </w:r>
    </w:p>
    <w:p>
      <w:pPr>
        <w:snapToGrid w:val="0"/>
        <w:spacing w:line="360" w:lineRule="auto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第二条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本细则适用于</w:t>
      </w:r>
      <w:r>
        <w:rPr>
          <w:rFonts w:ascii="仿宋" w:hAnsi="仿宋" w:eastAsia="仿宋"/>
          <w:kern w:val="0"/>
          <w:sz w:val="32"/>
          <w:szCs w:val="32"/>
        </w:rPr>
        <w:t>研究生国家奖学金</w:t>
      </w:r>
      <w:r>
        <w:rPr>
          <w:rFonts w:hint="eastAsia" w:ascii="仿宋" w:hAnsi="仿宋" w:eastAsia="仿宋"/>
          <w:kern w:val="0"/>
          <w:sz w:val="32"/>
          <w:szCs w:val="32"/>
        </w:rPr>
        <w:t>、广东省优秀学生（研究生阶段）、宝钢优秀学生奖（内地学生）、宝钢优秀学生奖（港澳台学生）、光华教育奖学金等国家级、省级、校级奖项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第二章 </w:t>
      </w:r>
      <w:r>
        <w:rPr>
          <w:rFonts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>评选对象及名额</w:t>
      </w:r>
    </w:p>
    <w:p>
      <w:pPr>
        <w:snapToGrid w:val="0"/>
        <w:spacing w:line="360" w:lineRule="auto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第三条 </w:t>
      </w:r>
      <w:r>
        <w:rPr>
          <w:rFonts w:ascii="仿宋" w:hAnsi="仿宋" w:eastAsia="仿宋"/>
          <w:sz w:val="32"/>
          <w:szCs w:val="32"/>
        </w:rPr>
        <w:t xml:space="preserve"> 具体详见当年学校和学院发布的相关通知。</w:t>
      </w:r>
    </w:p>
    <w:p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第三章 </w:t>
      </w:r>
      <w:r>
        <w:rPr>
          <w:rFonts w:ascii="仿宋" w:hAnsi="仿宋" w:eastAsia="仿宋"/>
          <w:b/>
          <w:sz w:val="32"/>
          <w:szCs w:val="32"/>
        </w:rPr>
        <w:t xml:space="preserve"> 申请</w:t>
      </w:r>
      <w:r>
        <w:rPr>
          <w:rFonts w:hint="eastAsia" w:ascii="仿宋" w:hAnsi="仿宋" w:eastAsia="仿宋"/>
          <w:b/>
          <w:sz w:val="32"/>
          <w:szCs w:val="32"/>
        </w:rPr>
        <w:t>基本</w:t>
      </w:r>
      <w:r>
        <w:rPr>
          <w:rFonts w:ascii="仿宋" w:hAnsi="仿宋" w:eastAsia="仿宋"/>
          <w:b/>
          <w:sz w:val="32"/>
          <w:szCs w:val="32"/>
        </w:rPr>
        <w:t>条件</w:t>
      </w:r>
    </w:p>
    <w:p>
      <w:pPr>
        <w:snapToGrid w:val="0"/>
        <w:spacing w:line="360" w:lineRule="auto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第四条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研究生奖学金申请基本条件为：</w:t>
      </w:r>
    </w:p>
    <w:p>
      <w:pPr>
        <w:snapToGrid w:val="0"/>
        <w:spacing w:line="360" w:lineRule="auto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</w:t>
      </w:r>
      <w:r>
        <w:rPr>
          <w:rFonts w:ascii="仿宋" w:hAnsi="仿宋" w:eastAsia="仿宋"/>
          <w:sz w:val="32"/>
          <w:szCs w:val="32"/>
        </w:rPr>
        <w:t>热爱社会主义祖国，拥护中国共产党领导；</w:t>
      </w:r>
    </w:p>
    <w:p>
      <w:pPr>
        <w:snapToGrid w:val="0"/>
        <w:spacing w:line="360" w:lineRule="auto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</w:t>
      </w:r>
      <w:r>
        <w:rPr>
          <w:rFonts w:ascii="仿宋" w:hAnsi="仿宋" w:eastAsia="仿宋"/>
          <w:sz w:val="32"/>
          <w:szCs w:val="32"/>
        </w:rPr>
        <w:t>遵守宪法和法律，遵守学校规章制度；</w:t>
      </w:r>
    </w:p>
    <w:p>
      <w:pPr>
        <w:snapToGrid w:val="0"/>
        <w:spacing w:line="360" w:lineRule="auto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</w:t>
      </w:r>
      <w:r>
        <w:rPr>
          <w:rFonts w:ascii="仿宋" w:hAnsi="仿宋" w:eastAsia="仿宋"/>
          <w:sz w:val="32"/>
          <w:szCs w:val="32"/>
        </w:rPr>
        <w:t>诚实守信，道德品质优良；</w:t>
      </w:r>
    </w:p>
    <w:p>
      <w:pPr>
        <w:snapToGrid w:val="0"/>
        <w:spacing w:line="360" w:lineRule="auto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</w:t>
      </w:r>
      <w:r>
        <w:rPr>
          <w:rFonts w:ascii="仿宋" w:hAnsi="仿宋" w:eastAsia="仿宋"/>
          <w:sz w:val="32"/>
          <w:szCs w:val="32"/>
        </w:rPr>
        <w:t>学习成绩</w:t>
      </w:r>
      <w:r>
        <w:rPr>
          <w:rFonts w:hint="eastAsia" w:ascii="仿宋" w:hAnsi="仿宋" w:eastAsia="仿宋"/>
          <w:sz w:val="32"/>
          <w:szCs w:val="32"/>
        </w:rPr>
        <w:t>优良</w:t>
      </w:r>
      <w:r>
        <w:rPr>
          <w:rFonts w:ascii="仿宋" w:hAnsi="仿宋" w:eastAsia="仿宋"/>
          <w:sz w:val="32"/>
          <w:szCs w:val="32"/>
        </w:rPr>
        <w:t>，科研能力</w:t>
      </w:r>
      <w:r>
        <w:rPr>
          <w:rFonts w:hint="eastAsia" w:ascii="仿宋" w:hAnsi="仿宋" w:eastAsia="仿宋"/>
          <w:sz w:val="32"/>
          <w:szCs w:val="32"/>
        </w:rPr>
        <w:t>较强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并取得较好的科研业绩</w:t>
      </w:r>
      <w:r>
        <w:rPr>
          <w:rFonts w:ascii="仿宋" w:hAnsi="仿宋" w:eastAsia="仿宋"/>
          <w:sz w:val="32"/>
          <w:szCs w:val="32"/>
        </w:rPr>
        <w:t>；</w:t>
      </w:r>
    </w:p>
    <w:p>
      <w:pPr>
        <w:snapToGrid w:val="0"/>
        <w:spacing w:line="360" w:lineRule="auto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</w:t>
      </w:r>
      <w:r>
        <w:rPr>
          <w:rFonts w:ascii="仿宋" w:hAnsi="仿宋" w:eastAsia="仿宋"/>
          <w:sz w:val="32"/>
          <w:szCs w:val="32"/>
        </w:rPr>
        <w:t>有下列情形之一者，</w:t>
      </w:r>
      <w:r>
        <w:rPr>
          <w:rFonts w:hint="eastAsia" w:ascii="仿宋" w:hAnsi="仿宋" w:eastAsia="仿宋"/>
          <w:sz w:val="32"/>
          <w:szCs w:val="32"/>
        </w:rPr>
        <w:t>取消</w:t>
      </w:r>
      <w:r>
        <w:rPr>
          <w:rFonts w:ascii="仿宋" w:hAnsi="仿宋" w:eastAsia="仿宋"/>
          <w:sz w:val="32"/>
          <w:szCs w:val="32"/>
        </w:rPr>
        <w:t>参评</w:t>
      </w:r>
      <w:r>
        <w:rPr>
          <w:rFonts w:hint="eastAsia" w:ascii="仿宋" w:hAnsi="仿宋" w:eastAsia="仿宋"/>
          <w:sz w:val="32"/>
          <w:szCs w:val="32"/>
        </w:rPr>
        <w:t>资格</w:t>
      </w:r>
      <w:r>
        <w:rPr>
          <w:rFonts w:ascii="仿宋" w:hAnsi="仿宋" w:eastAsia="仿宋"/>
          <w:sz w:val="32"/>
          <w:szCs w:val="32"/>
        </w:rPr>
        <w:t>：</w:t>
      </w:r>
    </w:p>
    <w:p>
      <w:pPr>
        <w:snapToGrid w:val="0"/>
        <w:spacing w:line="360" w:lineRule="auto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 在申请材料中弄虚作假；</w:t>
      </w:r>
    </w:p>
    <w:p>
      <w:pPr>
        <w:snapToGrid w:val="0"/>
        <w:spacing w:line="360" w:lineRule="auto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 因违反校纪校规受</w:t>
      </w:r>
      <w:r>
        <w:rPr>
          <w:rFonts w:ascii="仿宋" w:hAnsi="仿宋" w:eastAsia="仿宋"/>
          <w:sz w:val="32"/>
          <w:szCs w:val="32"/>
        </w:rPr>
        <w:t>纪律处分；</w:t>
      </w:r>
    </w:p>
    <w:p>
      <w:pPr>
        <w:snapToGrid w:val="0"/>
        <w:spacing w:line="360" w:lineRule="auto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 xml:space="preserve"> 1学期缺勤累计2周以上；</w:t>
      </w:r>
    </w:p>
    <w:p>
      <w:pPr>
        <w:snapToGrid w:val="0"/>
        <w:spacing w:line="360" w:lineRule="auto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 考试作弊或有抄袭、篡改、造假等学术不端行为；</w:t>
      </w:r>
    </w:p>
    <w:p>
      <w:pPr>
        <w:snapToGrid w:val="0"/>
        <w:spacing w:line="360" w:lineRule="auto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 在科研工作中，违反工作程序，导致严重后果；</w:t>
      </w:r>
    </w:p>
    <w:p>
      <w:pPr>
        <w:snapToGrid w:val="0"/>
        <w:spacing w:line="360" w:lineRule="auto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 考核学年度不按要求担任“助教”、“助研”工作或考核不合格；</w:t>
      </w:r>
    </w:p>
    <w:p>
      <w:pPr>
        <w:snapToGrid w:val="0"/>
        <w:spacing w:line="360" w:lineRule="auto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 考核学年度有</w:t>
      </w:r>
      <w:r>
        <w:rPr>
          <w:rFonts w:ascii="仿宋" w:hAnsi="仿宋" w:eastAsia="仿宋"/>
          <w:sz w:val="32"/>
          <w:szCs w:val="32"/>
        </w:rPr>
        <w:t>必修</w:t>
      </w:r>
      <w:r>
        <w:rPr>
          <w:rFonts w:hint="eastAsia" w:ascii="仿宋" w:hAnsi="仿宋" w:eastAsia="仿宋"/>
          <w:sz w:val="32"/>
          <w:szCs w:val="32"/>
        </w:rPr>
        <w:t>课考试</w:t>
      </w:r>
      <w:r>
        <w:rPr>
          <w:rFonts w:ascii="仿宋" w:hAnsi="仿宋" w:eastAsia="仿宋"/>
          <w:sz w:val="32"/>
          <w:szCs w:val="32"/>
        </w:rPr>
        <w:t>不合格或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ascii="仿宋" w:hAnsi="仿宋" w:eastAsia="仿宋"/>
          <w:sz w:val="32"/>
          <w:szCs w:val="32"/>
        </w:rPr>
        <w:t>选修课</w:t>
      </w:r>
      <w:r>
        <w:rPr>
          <w:rFonts w:hint="eastAsia" w:ascii="仿宋" w:hAnsi="仿宋" w:eastAsia="仿宋"/>
          <w:sz w:val="32"/>
          <w:szCs w:val="32"/>
        </w:rPr>
        <w:t>考试（考查）</w:t>
      </w:r>
      <w:r>
        <w:rPr>
          <w:rFonts w:ascii="仿宋" w:hAnsi="仿宋" w:eastAsia="仿宋"/>
          <w:sz w:val="32"/>
          <w:szCs w:val="32"/>
        </w:rPr>
        <w:t>不及格</w:t>
      </w:r>
      <w:r>
        <w:rPr>
          <w:rFonts w:hint="eastAsia" w:ascii="仿宋" w:hAnsi="仿宋" w:eastAsia="仿宋"/>
          <w:sz w:val="32"/>
          <w:szCs w:val="32"/>
        </w:rPr>
        <w:t>，补考、重考；</w:t>
      </w:r>
    </w:p>
    <w:p>
      <w:pPr>
        <w:snapToGrid w:val="0"/>
        <w:spacing w:line="360" w:lineRule="auto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 思想政治工作和表现不合格者。</w:t>
      </w:r>
    </w:p>
    <w:p>
      <w:pPr>
        <w:snapToGrid w:val="0"/>
        <w:spacing w:line="360" w:lineRule="auto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第五条 </w:t>
      </w:r>
      <w:r>
        <w:rPr>
          <w:rFonts w:ascii="仿宋" w:hAnsi="仿宋" w:eastAsia="仿宋"/>
          <w:sz w:val="32"/>
          <w:szCs w:val="32"/>
        </w:rPr>
        <w:t xml:space="preserve"> 博士研究生</w:t>
      </w:r>
      <w:r>
        <w:rPr>
          <w:rFonts w:hint="eastAsia" w:ascii="仿宋" w:hAnsi="仿宋" w:eastAsia="仿宋"/>
          <w:sz w:val="32"/>
          <w:szCs w:val="32"/>
        </w:rPr>
        <w:t>申请</w:t>
      </w:r>
      <w:r>
        <w:rPr>
          <w:rFonts w:ascii="仿宋" w:hAnsi="仿宋" w:eastAsia="仿宋"/>
          <w:sz w:val="32"/>
          <w:szCs w:val="32"/>
        </w:rPr>
        <w:t>者应有突出的科研成果</w:t>
      </w:r>
      <w:r>
        <w:rPr>
          <w:rFonts w:hint="eastAsia" w:ascii="仿宋" w:hAnsi="仿宋" w:eastAsia="仿宋"/>
          <w:sz w:val="32"/>
          <w:szCs w:val="32"/>
        </w:rPr>
        <w:t>（满足下列条件之一者，均可报名）</w:t>
      </w:r>
      <w:r>
        <w:rPr>
          <w:rFonts w:ascii="仿宋" w:hAnsi="仿宋" w:eastAsia="仿宋"/>
          <w:sz w:val="32"/>
          <w:szCs w:val="32"/>
        </w:rPr>
        <w:t>：</w:t>
      </w:r>
    </w:p>
    <w:p>
      <w:pPr>
        <w:snapToGrid w:val="0"/>
        <w:spacing w:line="360" w:lineRule="auto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（一）在读期间以中山大学为第一署名单位，或者一年级学生以前置学历单位署名，在所在研究领域的重要刊物上发表研究成果，总排名于前三位。</w:t>
      </w:r>
    </w:p>
    <w:p>
      <w:pPr>
        <w:snapToGrid w:val="0"/>
        <w:spacing w:line="360" w:lineRule="auto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（二）科研成果被证明具有较高的学术价值或应用价值，需导师提供相关证明，提交学院研究生奖助金评审委员会审核。</w:t>
      </w:r>
    </w:p>
    <w:p>
      <w:pPr>
        <w:snapToGrid w:val="0"/>
        <w:spacing w:line="360" w:lineRule="auto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（三）获得发明专利或已产生经济效益的实用新型专利，需提供专利证书复印件和相关证明。</w:t>
      </w:r>
    </w:p>
    <w:p>
      <w:pPr>
        <w:snapToGrid w:val="0"/>
        <w:spacing w:line="360" w:lineRule="auto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（四）参加国际性、全国性学术、科技、文化等竞赛性活动，成绩优异。</w:t>
      </w:r>
    </w:p>
    <w:p>
      <w:pPr>
        <w:snapToGrid w:val="0"/>
        <w:spacing w:line="360" w:lineRule="auto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第六条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学术型</w:t>
      </w:r>
      <w:r>
        <w:rPr>
          <w:rFonts w:ascii="仿宋" w:hAnsi="仿宋" w:eastAsia="仿宋"/>
          <w:sz w:val="32"/>
          <w:szCs w:val="32"/>
        </w:rPr>
        <w:t>硕士研究生</w:t>
      </w:r>
      <w:r>
        <w:rPr>
          <w:rFonts w:hint="eastAsia" w:ascii="仿宋" w:hAnsi="仿宋" w:eastAsia="仿宋"/>
          <w:sz w:val="32"/>
          <w:szCs w:val="32"/>
        </w:rPr>
        <w:t>申请</w:t>
      </w:r>
      <w:r>
        <w:rPr>
          <w:rFonts w:ascii="仿宋" w:hAnsi="仿宋" w:eastAsia="仿宋"/>
          <w:sz w:val="32"/>
          <w:szCs w:val="32"/>
        </w:rPr>
        <w:t>者原则上应有一定的科研成果，在社会实践、科技创新、学术活动等方面表现优秀；</w:t>
      </w:r>
      <w:r>
        <w:rPr>
          <w:rFonts w:hint="eastAsia" w:ascii="仿宋" w:hAnsi="仿宋" w:eastAsia="仿宋"/>
          <w:sz w:val="32"/>
          <w:szCs w:val="32"/>
        </w:rPr>
        <w:t>专业型</w:t>
      </w:r>
      <w:r>
        <w:rPr>
          <w:rFonts w:ascii="仿宋" w:hAnsi="仿宋" w:eastAsia="仿宋"/>
          <w:sz w:val="32"/>
          <w:szCs w:val="32"/>
        </w:rPr>
        <w:t>硕士研究生</w:t>
      </w:r>
      <w:r>
        <w:rPr>
          <w:rFonts w:hint="eastAsia" w:ascii="仿宋" w:hAnsi="仿宋" w:eastAsia="仿宋"/>
          <w:sz w:val="32"/>
          <w:szCs w:val="32"/>
        </w:rPr>
        <w:t>申请</w:t>
      </w:r>
      <w:r>
        <w:rPr>
          <w:rFonts w:ascii="仿宋" w:hAnsi="仿宋" w:eastAsia="仿宋"/>
          <w:sz w:val="32"/>
          <w:szCs w:val="32"/>
        </w:rPr>
        <w:t>者应积极参与应用研究和基地实验工作，原则上</w:t>
      </w:r>
      <w:r>
        <w:rPr>
          <w:rFonts w:hint="eastAsia" w:ascii="仿宋" w:hAnsi="仿宋" w:eastAsia="仿宋"/>
          <w:sz w:val="32"/>
          <w:szCs w:val="32"/>
        </w:rPr>
        <w:t>应</w:t>
      </w:r>
      <w:r>
        <w:rPr>
          <w:rFonts w:ascii="仿宋" w:hAnsi="仿宋" w:eastAsia="仿宋"/>
          <w:sz w:val="32"/>
          <w:szCs w:val="32"/>
        </w:rPr>
        <w:t>有一定的科研成果，在社会实践、科技创新、学术活动等方面表现优秀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第四章 </w:t>
      </w:r>
      <w:r>
        <w:rPr>
          <w:rFonts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>组织机构</w:t>
      </w:r>
    </w:p>
    <w:p>
      <w:pPr>
        <w:snapToGrid w:val="0"/>
        <w:spacing w:line="360" w:lineRule="auto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第七条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根据学校要求并经学院讨论成立研究生奖助金评审委员会，负责本单位研究生奖助金的评审组织和评审结果审定等工作。根据《中山大学研究生奖助规定实施细则》（中大研院〔2019〕94号</w:t>
      </w:r>
      <w:r>
        <w:rPr>
          <w:rFonts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</w:rPr>
        <w:t>的规定，评审委员会委员应以本单位教育与学位委员会成员为主，同时应有本单位分管学生工作的领导和研究生代表各一名，评审委员会组成人数原则上不少于5人。</w:t>
      </w:r>
    </w:p>
    <w:p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第五章 </w:t>
      </w:r>
      <w:r>
        <w:rPr>
          <w:rFonts w:ascii="仿宋" w:hAnsi="仿宋" w:eastAsia="仿宋"/>
          <w:b/>
          <w:sz w:val="32"/>
          <w:szCs w:val="32"/>
        </w:rPr>
        <w:t xml:space="preserve"> 评</w:t>
      </w:r>
      <w:r>
        <w:rPr>
          <w:rFonts w:hint="eastAsia" w:ascii="仿宋" w:hAnsi="仿宋" w:eastAsia="仿宋"/>
          <w:b/>
          <w:sz w:val="32"/>
          <w:szCs w:val="32"/>
        </w:rPr>
        <w:t>选</w:t>
      </w:r>
      <w:r>
        <w:rPr>
          <w:rFonts w:ascii="仿宋" w:hAnsi="仿宋" w:eastAsia="仿宋"/>
          <w:b/>
          <w:sz w:val="32"/>
          <w:szCs w:val="32"/>
        </w:rPr>
        <w:t>程序</w:t>
      </w:r>
    </w:p>
    <w:p>
      <w:pPr>
        <w:snapToGrid w:val="0"/>
        <w:spacing w:line="360" w:lineRule="auto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第八条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研究生奖学金评选程序如下：</w:t>
      </w:r>
    </w:p>
    <w:p>
      <w:pPr>
        <w:snapToGrid w:val="0"/>
        <w:spacing w:line="360" w:lineRule="auto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（一）学院研究生奖助金评审委员会</w:t>
      </w:r>
      <w:r>
        <w:rPr>
          <w:rFonts w:ascii="仿宋" w:hAnsi="仿宋" w:eastAsia="仿宋"/>
          <w:sz w:val="32"/>
          <w:szCs w:val="32"/>
        </w:rPr>
        <w:t>召开会议，</w:t>
      </w:r>
      <w:r>
        <w:rPr>
          <w:rFonts w:hint="eastAsia" w:ascii="仿宋" w:hAnsi="仿宋" w:eastAsia="仿宋"/>
          <w:sz w:val="32"/>
          <w:szCs w:val="32"/>
        </w:rPr>
        <w:t>审议并通过当年评选工作方案。</w:t>
      </w:r>
    </w:p>
    <w:p>
      <w:pPr>
        <w:snapToGrid w:val="0"/>
        <w:spacing w:line="360" w:lineRule="auto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</w:t>
      </w:r>
      <w:r>
        <w:rPr>
          <w:rFonts w:ascii="仿宋" w:hAnsi="仿宋" w:eastAsia="仿宋"/>
          <w:sz w:val="32"/>
          <w:szCs w:val="32"/>
        </w:rPr>
        <w:t>面向在读研究生发布评选</w:t>
      </w:r>
      <w:r>
        <w:rPr>
          <w:rFonts w:hint="eastAsia" w:ascii="仿宋" w:hAnsi="仿宋" w:eastAsia="仿宋"/>
          <w:sz w:val="32"/>
          <w:szCs w:val="32"/>
        </w:rPr>
        <w:t>通知。</w:t>
      </w:r>
    </w:p>
    <w:p>
      <w:pPr>
        <w:snapToGrid w:val="0"/>
        <w:spacing w:line="360" w:lineRule="auto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（三）申请人在规定时间内向</w:t>
      </w:r>
      <w:r>
        <w:rPr>
          <w:rFonts w:ascii="仿宋" w:hAnsi="仿宋" w:eastAsia="仿宋"/>
          <w:sz w:val="32"/>
          <w:szCs w:val="32"/>
        </w:rPr>
        <w:t>学院提出书面申请，按时递交</w:t>
      </w:r>
      <w:r>
        <w:rPr>
          <w:rFonts w:hint="eastAsia" w:ascii="仿宋" w:hAnsi="仿宋" w:eastAsia="仿宋"/>
          <w:sz w:val="32"/>
          <w:szCs w:val="32"/>
        </w:rPr>
        <w:t>所需的纸质版和</w:t>
      </w:r>
      <w:r>
        <w:rPr>
          <w:rFonts w:ascii="仿宋" w:hAnsi="仿宋" w:eastAsia="仿宋"/>
          <w:sz w:val="32"/>
          <w:szCs w:val="32"/>
        </w:rPr>
        <w:t>电子版</w:t>
      </w:r>
      <w:r>
        <w:rPr>
          <w:rFonts w:hint="eastAsia" w:ascii="仿宋" w:hAnsi="仿宋" w:eastAsia="仿宋"/>
          <w:sz w:val="32"/>
          <w:szCs w:val="32"/>
        </w:rPr>
        <w:t>材料如申请表、汇总表、成绩单、成果证明等。</w:t>
      </w:r>
    </w:p>
    <w:p>
      <w:pPr>
        <w:snapToGrid w:val="0"/>
        <w:spacing w:line="360" w:lineRule="auto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</w:t>
      </w:r>
      <w:r>
        <w:rPr>
          <w:rFonts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</w:rPr>
        <w:t>学生工作</w:t>
      </w:r>
      <w:r>
        <w:rPr>
          <w:rFonts w:ascii="仿宋" w:hAnsi="仿宋" w:eastAsia="仿宋"/>
          <w:sz w:val="32"/>
          <w:szCs w:val="32"/>
        </w:rPr>
        <w:t>部负责材料的收集整理</w:t>
      </w:r>
      <w:r>
        <w:rPr>
          <w:rFonts w:hint="eastAsia" w:ascii="仿宋" w:hAnsi="仿宋" w:eastAsia="仿宋"/>
          <w:sz w:val="32"/>
          <w:szCs w:val="32"/>
        </w:rPr>
        <w:t>及</w:t>
      </w:r>
      <w:r>
        <w:rPr>
          <w:rFonts w:ascii="仿宋" w:hAnsi="仿宋" w:eastAsia="仿宋"/>
          <w:sz w:val="32"/>
          <w:szCs w:val="32"/>
        </w:rPr>
        <w:t>汇总公示，对规定时间内提交的申</w:t>
      </w:r>
      <w:r>
        <w:rPr>
          <w:rFonts w:hint="eastAsia" w:ascii="仿宋" w:hAnsi="仿宋" w:eastAsia="仿宋"/>
          <w:sz w:val="32"/>
          <w:szCs w:val="32"/>
        </w:rPr>
        <w:t>报</w:t>
      </w:r>
      <w:r>
        <w:rPr>
          <w:rFonts w:ascii="仿宋" w:hAnsi="仿宋" w:eastAsia="仿宋"/>
          <w:sz w:val="32"/>
          <w:szCs w:val="32"/>
        </w:rPr>
        <w:t>材料进行资格审核</w:t>
      </w:r>
      <w:r>
        <w:rPr>
          <w:rFonts w:hint="eastAsia" w:ascii="仿宋" w:hAnsi="仿宋" w:eastAsia="仿宋"/>
          <w:sz w:val="32"/>
          <w:szCs w:val="32"/>
        </w:rPr>
        <w:t>，对形式审查不合格者作不予参评处理。</w:t>
      </w:r>
    </w:p>
    <w:p>
      <w:pPr>
        <w:snapToGrid w:val="0"/>
        <w:spacing w:line="360" w:lineRule="auto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</w:t>
      </w:r>
      <w:r>
        <w:rPr>
          <w:rFonts w:ascii="仿宋" w:hAnsi="仿宋" w:eastAsia="仿宋"/>
          <w:sz w:val="32"/>
          <w:szCs w:val="32"/>
        </w:rPr>
        <w:t>各</w:t>
      </w:r>
      <w:r>
        <w:rPr>
          <w:rFonts w:hint="eastAsia" w:ascii="仿宋" w:hAnsi="仿宋" w:eastAsia="仿宋"/>
          <w:sz w:val="32"/>
          <w:szCs w:val="32"/>
        </w:rPr>
        <w:t>申请人</w:t>
      </w:r>
      <w:r>
        <w:rPr>
          <w:rFonts w:ascii="仿宋" w:hAnsi="仿宋" w:eastAsia="仿宋"/>
          <w:sz w:val="32"/>
          <w:szCs w:val="32"/>
        </w:rPr>
        <w:t>自行核查公示情况，如有</w:t>
      </w:r>
      <w:r>
        <w:rPr>
          <w:rFonts w:hint="eastAsia" w:ascii="仿宋" w:hAnsi="仿宋" w:eastAsia="仿宋"/>
          <w:sz w:val="32"/>
          <w:szCs w:val="32"/>
        </w:rPr>
        <w:t>汇总错漏须</w:t>
      </w:r>
      <w:r>
        <w:rPr>
          <w:rFonts w:ascii="仿宋" w:hAnsi="仿宋" w:eastAsia="仿宋"/>
          <w:sz w:val="32"/>
          <w:szCs w:val="32"/>
        </w:rPr>
        <w:t>在规定时间内提出，逾期概不受理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napToGrid w:val="0"/>
        <w:spacing w:line="360" w:lineRule="auto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（六）学院</w:t>
      </w:r>
      <w:r>
        <w:rPr>
          <w:rFonts w:ascii="仿宋" w:hAnsi="仿宋" w:eastAsia="仿宋"/>
          <w:sz w:val="32"/>
          <w:szCs w:val="32"/>
        </w:rPr>
        <w:t>研究生工作部负责</w:t>
      </w:r>
      <w:r>
        <w:rPr>
          <w:rFonts w:hint="eastAsia" w:ascii="仿宋" w:hAnsi="仿宋" w:eastAsia="仿宋"/>
          <w:sz w:val="32"/>
          <w:szCs w:val="32"/>
        </w:rPr>
        <w:t>审核</w:t>
      </w:r>
      <w:r>
        <w:rPr>
          <w:rFonts w:ascii="仿宋" w:hAnsi="仿宋" w:eastAsia="仿宋"/>
          <w:sz w:val="32"/>
          <w:szCs w:val="32"/>
        </w:rPr>
        <w:t>成绩、学术诚信、培养计划完成情况和中期考核情况</w:t>
      </w:r>
      <w:r>
        <w:rPr>
          <w:rFonts w:hint="eastAsia" w:ascii="仿宋" w:hAnsi="仿宋" w:eastAsia="仿宋"/>
          <w:sz w:val="32"/>
          <w:szCs w:val="32"/>
        </w:rPr>
        <w:t>等</w:t>
      </w:r>
      <w:r>
        <w:rPr>
          <w:rFonts w:ascii="仿宋" w:hAnsi="仿宋" w:eastAsia="仿宋"/>
          <w:sz w:val="32"/>
          <w:szCs w:val="32"/>
        </w:rPr>
        <w:t>工作，根据申报材料和研究生日常管理记录</w:t>
      </w:r>
      <w:r>
        <w:rPr>
          <w:rFonts w:hint="eastAsia" w:ascii="仿宋" w:hAnsi="仿宋" w:eastAsia="仿宋"/>
          <w:sz w:val="32"/>
          <w:szCs w:val="32"/>
        </w:rPr>
        <w:t>作</w:t>
      </w:r>
      <w:r>
        <w:rPr>
          <w:rFonts w:ascii="仿宋" w:hAnsi="仿宋" w:eastAsia="仿宋"/>
          <w:sz w:val="32"/>
          <w:szCs w:val="32"/>
        </w:rPr>
        <w:t>综合表现考核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napToGrid w:val="0"/>
        <w:spacing w:line="360" w:lineRule="auto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（七）</w:t>
      </w:r>
      <w:bookmarkStart w:id="0" w:name="_GoBack"/>
      <w:r>
        <w:rPr>
          <w:rFonts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</w:rPr>
        <w:t>研究生奖助金评审委员会组织</w:t>
      </w:r>
      <w:r>
        <w:rPr>
          <w:rFonts w:ascii="仿宋" w:hAnsi="仿宋" w:eastAsia="仿宋"/>
          <w:sz w:val="32"/>
          <w:szCs w:val="32"/>
        </w:rPr>
        <w:t>召开</w:t>
      </w:r>
      <w:r>
        <w:rPr>
          <w:rFonts w:hint="eastAsia" w:ascii="仿宋" w:hAnsi="仿宋" w:eastAsia="仿宋"/>
          <w:sz w:val="32"/>
          <w:szCs w:val="32"/>
        </w:rPr>
        <w:t>答辩评审会。</w:t>
      </w:r>
    </w:p>
    <w:p>
      <w:pPr>
        <w:snapToGrid w:val="0"/>
        <w:spacing w:line="360" w:lineRule="auto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（八）每位申请人有3分钟的PPT展示时间和1分钟的问答时间，评审委员根据答辩情况现场单独评分，总分</w:t>
      </w: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分。</w:t>
      </w:r>
    </w:p>
    <w:p>
      <w:pPr>
        <w:snapToGrid w:val="0"/>
        <w:spacing w:line="360" w:lineRule="auto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（九）根据评审委员评分的平均分，对申请人排序。组内有2名或以上申请人平均分相同时，通过投票确定最终排序，投票时应考虑学科均衡。</w:t>
      </w:r>
    </w:p>
    <w:p>
      <w:pPr>
        <w:snapToGrid w:val="0"/>
        <w:spacing w:line="360" w:lineRule="auto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十）现场公布结果并接受异议，评审委员现场解答。申请人及评审委员均无异议后，评审委员在评审结果上签名，不再接受对答辩排名的异议。如公布结果时有申请人不在场，视为接受结果并之后不得提出对答辩排名的异议。</w:t>
      </w:r>
    </w:p>
    <w:p>
      <w:pPr>
        <w:snapToGrid w:val="0"/>
        <w:spacing w:line="360" w:lineRule="auto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（十一）</w:t>
      </w:r>
      <w:r>
        <w:rPr>
          <w:rFonts w:ascii="仿宋" w:hAnsi="仿宋" w:eastAsia="仿宋"/>
          <w:sz w:val="32"/>
          <w:szCs w:val="32"/>
        </w:rPr>
        <w:t>学院网站主页公示评选结果</w:t>
      </w:r>
      <w:r>
        <w:rPr>
          <w:rFonts w:hint="eastAsia" w:ascii="仿宋" w:hAnsi="仿宋" w:eastAsia="仿宋"/>
          <w:sz w:val="32"/>
          <w:szCs w:val="32"/>
        </w:rPr>
        <w:t>。因排名结果已经现场公示及答疑，公示期间仅接受汇总和舞弊问题的异议。</w:t>
      </w:r>
    </w:p>
    <w:p>
      <w:pPr>
        <w:snapToGrid w:val="0"/>
        <w:spacing w:line="360" w:lineRule="auto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（十二）</w:t>
      </w:r>
      <w:r>
        <w:rPr>
          <w:rFonts w:ascii="仿宋" w:hAnsi="仿宋" w:eastAsia="仿宋"/>
          <w:sz w:val="32"/>
          <w:szCs w:val="32"/>
        </w:rPr>
        <w:t>如</w:t>
      </w:r>
      <w:r>
        <w:rPr>
          <w:rFonts w:hint="eastAsia" w:ascii="仿宋" w:hAnsi="仿宋" w:eastAsia="仿宋"/>
          <w:sz w:val="32"/>
          <w:szCs w:val="32"/>
        </w:rPr>
        <w:t>发现舞弊问题</w:t>
      </w:r>
      <w:r>
        <w:rPr>
          <w:rFonts w:ascii="仿宋" w:hAnsi="仿宋" w:eastAsia="仿宋"/>
          <w:sz w:val="32"/>
          <w:szCs w:val="32"/>
        </w:rPr>
        <w:t>，可在公示阶段</w:t>
      </w:r>
      <w:r>
        <w:rPr>
          <w:rFonts w:hint="eastAsia" w:ascii="仿宋" w:hAnsi="仿宋" w:eastAsia="仿宋"/>
          <w:sz w:val="32"/>
          <w:szCs w:val="32"/>
        </w:rPr>
        <w:t>实名向</w:t>
      </w:r>
      <w:r>
        <w:rPr>
          <w:rFonts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</w:rPr>
        <w:t>研究生奖助金评审委员会反映。</w:t>
      </w:r>
    </w:p>
    <w:bookmarkEnd w:id="0"/>
    <w:p>
      <w:pPr>
        <w:snapToGrid w:val="0"/>
        <w:spacing w:line="360" w:lineRule="auto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（十三）针对评选过程中的问题及反馈，由</w:t>
      </w:r>
      <w:r>
        <w:rPr>
          <w:rFonts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</w:rPr>
        <w:t>研究生奖助金评审委员会及时处理。</w:t>
      </w:r>
    </w:p>
    <w:p>
      <w:pPr>
        <w:snapToGrid w:val="0"/>
        <w:spacing w:line="360" w:lineRule="auto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（十四）</w:t>
      </w:r>
      <w:r>
        <w:rPr>
          <w:rFonts w:ascii="仿宋" w:hAnsi="仿宋" w:eastAsia="仿宋"/>
          <w:sz w:val="32"/>
          <w:szCs w:val="32"/>
        </w:rPr>
        <w:t>学院备案并上报研究生院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napToGrid w:val="0"/>
        <w:spacing w:line="360" w:lineRule="auto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（十五）</w:t>
      </w:r>
      <w:r>
        <w:rPr>
          <w:rFonts w:ascii="仿宋" w:hAnsi="仿宋" w:eastAsia="仿宋"/>
          <w:sz w:val="32"/>
          <w:szCs w:val="32"/>
        </w:rPr>
        <w:t>学校</w:t>
      </w:r>
      <w:r>
        <w:rPr>
          <w:rFonts w:hint="eastAsia" w:ascii="仿宋" w:hAnsi="仿宋" w:eastAsia="仿宋"/>
          <w:sz w:val="32"/>
          <w:szCs w:val="32"/>
        </w:rPr>
        <w:t>研究生奖助学金评审领导小组审定并予以公示。</w:t>
      </w:r>
      <w:r>
        <w:rPr>
          <w:rFonts w:ascii="仿宋" w:hAnsi="仿宋" w:eastAsia="仿宋"/>
          <w:sz w:val="32"/>
          <w:szCs w:val="32"/>
        </w:rPr>
        <w:t>公示</w:t>
      </w:r>
      <w:r>
        <w:rPr>
          <w:rFonts w:hint="eastAsia" w:ascii="仿宋" w:hAnsi="仿宋" w:eastAsia="仿宋"/>
          <w:sz w:val="32"/>
          <w:szCs w:val="32"/>
        </w:rPr>
        <w:t>期</w:t>
      </w:r>
      <w:r>
        <w:rPr>
          <w:rFonts w:ascii="仿宋" w:hAnsi="仿宋" w:eastAsia="仿宋"/>
          <w:sz w:val="32"/>
          <w:szCs w:val="32"/>
        </w:rPr>
        <w:t>内有异议的，可向学校</w:t>
      </w:r>
      <w:r>
        <w:rPr>
          <w:rFonts w:hint="eastAsia" w:ascii="仿宋" w:hAnsi="仿宋" w:eastAsia="仿宋"/>
          <w:sz w:val="32"/>
          <w:szCs w:val="32"/>
        </w:rPr>
        <w:t>研究生奖助学金评审领导小组</w:t>
      </w:r>
      <w:r>
        <w:rPr>
          <w:rFonts w:ascii="仿宋" w:hAnsi="仿宋" w:eastAsia="仿宋"/>
          <w:sz w:val="32"/>
          <w:szCs w:val="32"/>
        </w:rPr>
        <w:t>申请裁决。</w:t>
      </w:r>
    </w:p>
    <w:p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 xml:space="preserve">第六章 </w:t>
      </w:r>
      <w:r>
        <w:rPr>
          <w:rFonts w:ascii="仿宋" w:hAnsi="仿宋" w:eastAsia="仿宋"/>
          <w:b/>
          <w:sz w:val="32"/>
          <w:szCs w:val="32"/>
        </w:rPr>
        <w:t xml:space="preserve"> </w:t>
      </w:r>
      <w:r>
        <w:rPr>
          <w:rFonts w:hint="eastAsia" w:ascii="仿宋" w:hAnsi="仿宋" w:eastAsia="仿宋"/>
          <w:b/>
          <w:sz w:val="32"/>
          <w:szCs w:val="32"/>
        </w:rPr>
        <w:t>附    则</w:t>
      </w:r>
    </w:p>
    <w:p>
      <w:pPr>
        <w:snapToGrid w:val="0"/>
        <w:spacing w:line="360" w:lineRule="auto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第九条  申请人</w:t>
      </w:r>
      <w:r>
        <w:rPr>
          <w:rFonts w:ascii="仿宋" w:hAnsi="仿宋" w:eastAsia="仿宋"/>
          <w:sz w:val="32"/>
          <w:szCs w:val="32"/>
        </w:rPr>
        <w:t>必须符合</w:t>
      </w:r>
      <w:r>
        <w:rPr>
          <w:rFonts w:hint="eastAsia" w:ascii="仿宋" w:hAnsi="仿宋" w:eastAsia="仿宋"/>
          <w:sz w:val="32"/>
          <w:szCs w:val="32"/>
        </w:rPr>
        <w:t>学校</w:t>
      </w:r>
      <w:r>
        <w:rPr>
          <w:rFonts w:ascii="仿宋" w:hAnsi="仿宋" w:eastAsia="仿宋"/>
          <w:sz w:val="32"/>
          <w:szCs w:val="32"/>
        </w:rPr>
        <w:t>当年</w:t>
      </w:r>
      <w:r>
        <w:rPr>
          <w:rFonts w:hint="eastAsia" w:ascii="仿宋" w:hAnsi="仿宋" w:eastAsia="仿宋"/>
          <w:sz w:val="32"/>
          <w:szCs w:val="32"/>
        </w:rPr>
        <w:t>奖项</w:t>
      </w:r>
      <w:r>
        <w:rPr>
          <w:rFonts w:ascii="仿宋" w:hAnsi="仿宋" w:eastAsia="仿宋"/>
          <w:sz w:val="32"/>
          <w:szCs w:val="32"/>
        </w:rPr>
        <w:t>的相关规定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napToGrid w:val="0"/>
        <w:spacing w:line="360" w:lineRule="auto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第十条 申请人</w:t>
      </w:r>
      <w:r>
        <w:rPr>
          <w:rFonts w:ascii="仿宋" w:hAnsi="仿宋" w:eastAsia="仿宋"/>
          <w:sz w:val="32"/>
          <w:szCs w:val="32"/>
        </w:rPr>
        <w:t>提供的材料必须真实可信，如发现弄虚作假，取消</w:t>
      </w:r>
      <w:r>
        <w:rPr>
          <w:rFonts w:hint="eastAsia" w:ascii="仿宋" w:hAnsi="仿宋" w:eastAsia="仿宋"/>
          <w:sz w:val="32"/>
          <w:szCs w:val="32"/>
        </w:rPr>
        <w:t>其所有年度</w:t>
      </w:r>
      <w:r>
        <w:rPr>
          <w:rFonts w:ascii="仿宋" w:hAnsi="仿宋" w:eastAsia="仿宋"/>
          <w:sz w:val="32"/>
          <w:szCs w:val="32"/>
        </w:rPr>
        <w:t>参评资格</w:t>
      </w:r>
      <w:r>
        <w:rPr>
          <w:rFonts w:hint="eastAsia" w:ascii="仿宋" w:hAnsi="仿宋" w:eastAsia="仿宋"/>
          <w:sz w:val="32"/>
          <w:szCs w:val="32"/>
        </w:rPr>
        <w:t>，并视</w:t>
      </w:r>
      <w:r>
        <w:rPr>
          <w:rFonts w:ascii="仿宋" w:hAnsi="仿宋" w:eastAsia="仿宋"/>
          <w:sz w:val="32"/>
          <w:szCs w:val="32"/>
        </w:rPr>
        <w:t>其造成的影响给予相应处分；如获奖后发现学术不端或弄虚作假，学院将</w:t>
      </w:r>
      <w:r>
        <w:rPr>
          <w:rFonts w:hint="eastAsia" w:ascii="仿宋" w:hAnsi="仿宋" w:eastAsia="仿宋"/>
          <w:sz w:val="32"/>
          <w:szCs w:val="32"/>
        </w:rPr>
        <w:t>撤销其所得称号、</w:t>
      </w:r>
      <w:r>
        <w:rPr>
          <w:rFonts w:ascii="仿宋" w:hAnsi="仿宋" w:eastAsia="仿宋"/>
          <w:sz w:val="32"/>
          <w:szCs w:val="32"/>
        </w:rPr>
        <w:t>追缴其奖学金上交学校，</w:t>
      </w:r>
      <w:r>
        <w:rPr>
          <w:rFonts w:hint="eastAsia" w:ascii="仿宋" w:hAnsi="仿宋" w:eastAsia="仿宋"/>
          <w:sz w:val="32"/>
          <w:szCs w:val="32"/>
        </w:rPr>
        <w:t>并视</w:t>
      </w:r>
      <w:r>
        <w:rPr>
          <w:rFonts w:ascii="仿宋" w:hAnsi="仿宋" w:eastAsia="仿宋"/>
          <w:sz w:val="32"/>
          <w:szCs w:val="32"/>
        </w:rPr>
        <w:t>其造成的影响给予相应处分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napToGrid w:val="0"/>
        <w:spacing w:line="360" w:lineRule="auto"/>
        <w:ind w:firstLine="640" w:firstLineChars="200"/>
        <w:textAlignment w:val="baseline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第十一条 </w:t>
      </w:r>
      <w:r>
        <w:rPr>
          <w:rFonts w:ascii="仿宋" w:hAnsi="仿宋" w:eastAsia="仿宋"/>
          <w:sz w:val="32"/>
          <w:szCs w:val="32"/>
        </w:rPr>
        <w:t xml:space="preserve"> 本</w:t>
      </w:r>
      <w:r>
        <w:rPr>
          <w:rFonts w:hint="eastAsia" w:ascii="仿宋" w:hAnsi="仿宋" w:eastAsia="仿宋"/>
          <w:sz w:val="32"/>
          <w:szCs w:val="32"/>
        </w:rPr>
        <w:t>细则由学院研究生奖助金评审委员会负责解释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第十二条  本细则自公布之日起生效执行。</w:t>
      </w:r>
    </w:p>
    <w:p>
      <w:pPr>
        <w:widowControl/>
        <w:snapToGrid w:val="0"/>
        <w:spacing w:line="360" w:lineRule="auto"/>
        <w:jc w:val="left"/>
        <w:rPr>
          <w:rFonts w:ascii="仿宋" w:hAnsi="仿宋" w:eastAsia="仿宋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iti SC Light">
    <w:altName w:val="Malgun Gothic Semilight"/>
    <w:panose1 w:val="02000000000000000000"/>
    <w:charset w:val="80"/>
    <w:family w:val="auto"/>
    <w:pitch w:val="default"/>
    <w:sig w:usb0="00000000" w:usb1="00000000" w:usb2="00000010" w:usb3="00000000" w:csb0="003E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algun Gothic Semilight">
    <w:panose1 w:val="020B0502040204020203"/>
    <w:charset w:val="80"/>
    <w:family w:val="auto"/>
    <w:pitch w:val="default"/>
    <w:sig w:usb0="900002AF" w:usb1="01D77CFB" w:usb2="00000012" w:usb3="00000000" w:csb0="203E01BD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1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before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888"/>
    <w:rsid w:val="000039F8"/>
    <w:rsid w:val="00004F4C"/>
    <w:rsid w:val="00010E35"/>
    <w:rsid w:val="00014B77"/>
    <w:rsid w:val="00024486"/>
    <w:rsid w:val="000333BA"/>
    <w:rsid w:val="00040B70"/>
    <w:rsid w:val="00041E2C"/>
    <w:rsid w:val="00051384"/>
    <w:rsid w:val="000626F4"/>
    <w:rsid w:val="00063BC4"/>
    <w:rsid w:val="000664A6"/>
    <w:rsid w:val="000744E1"/>
    <w:rsid w:val="00080D1D"/>
    <w:rsid w:val="000A34D3"/>
    <w:rsid w:val="000B20D2"/>
    <w:rsid w:val="000B64D9"/>
    <w:rsid w:val="000D2F7D"/>
    <w:rsid w:val="000F474A"/>
    <w:rsid w:val="00102673"/>
    <w:rsid w:val="0011194D"/>
    <w:rsid w:val="0012509A"/>
    <w:rsid w:val="0013034E"/>
    <w:rsid w:val="00135005"/>
    <w:rsid w:val="00135DDD"/>
    <w:rsid w:val="00175736"/>
    <w:rsid w:val="001768D2"/>
    <w:rsid w:val="001808E8"/>
    <w:rsid w:val="001939B8"/>
    <w:rsid w:val="00197542"/>
    <w:rsid w:val="001A1C68"/>
    <w:rsid w:val="001A6C69"/>
    <w:rsid w:val="001B4F82"/>
    <w:rsid w:val="001C08DF"/>
    <w:rsid w:val="001E14AF"/>
    <w:rsid w:val="00206878"/>
    <w:rsid w:val="002245C8"/>
    <w:rsid w:val="002453CB"/>
    <w:rsid w:val="00247A36"/>
    <w:rsid w:val="002514F8"/>
    <w:rsid w:val="002558B6"/>
    <w:rsid w:val="00261391"/>
    <w:rsid w:val="002738A3"/>
    <w:rsid w:val="0027499D"/>
    <w:rsid w:val="00277202"/>
    <w:rsid w:val="002913ED"/>
    <w:rsid w:val="00296E6D"/>
    <w:rsid w:val="002A2A32"/>
    <w:rsid w:val="002E1DC0"/>
    <w:rsid w:val="002F0941"/>
    <w:rsid w:val="002F215C"/>
    <w:rsid w:val="002F4C8C"/>
    <w:rsid w:val="0030584F"/>
    <w:rsid w:val="00306D14"/>
    <w:rsid w:val="00310BF6"/>
    <w:rsid w:val="0031115A"/>
    <w:rsid w:val="00311398"/>
    <w:rsid w:val="00321913"/>
    <w:rsid w:val="00321AA7"/>
    <w:rsid w:val="00332B86"/>
    <w:rsid w:val="003339F2"/>
    <w:rsid w:val="00335A7F"/>
    <w:rsid w:val="00336A2A"/>
    <w:rsid w:val="00351340"/>
    <w:rsid w:val="003604D9"/>
    <w:rsid w:val="00385E24"/>
    <w:rsid w:val="0039562F"/>
    <w:rsid w:val="003977F7"/>
    <w:rsid w:val="003B0D9C"/>
    <w:rsid w:val="003C2BED"/>
    <w:rsid w:val="003C61C5"/>
    <w:rsid w:val="003E2888"/>
    <w:rsid w:val="003F0B5B"/>
    <w:rsid w:val="003F5079"/>
    <w:rsid w:val="0040224C"/>
    <w:rsid w:val="004059F8"/>
    <w:rsid w:val="00412078"/>
    <w:rsid w:val="00412BCC"/>
    <w:rsid w:val="00421E62"/>
    <w:rsid w:val="00425EDC"/>
    <w:rsid w:val="00431CEA"/>
    <w:rsid w:val="00437F82"/>
    <w:rsid w:val="00445E3B"/>
    <w:rsid w:val="004626CC"/>
    <w:rsid w:val="00464FCF"/>
    <w:rsid w:val="004717EB"/>
    <w:rsid w:val="00473511"/>
    <w:rsid w:val="00477337"/>
    <w:rsid w:val="00490EF9"/>
    <w:rsid w:val="004913AA"/>
    <w:rsid w:val="00493DD6"/>
    <w:rsid w:val="004A2B26"/>
    <w:rsid w:val="004A67FA"/>
    <w:rsid w:val="004B1AD2"/>
    <w:rsid w:val="004B3DB5"/>
    <w:rsid w:val="004B6D95"/>
    <w:rsid w:val="004C012F"/>
    <w:rsid w:val="004C176F"/>
    <w:rsid w:val="004C6A61"/>
    <w:rsid w:val="004C6F35"/>
    <w:rsid w:val="004F2943"/>
    <w:rsid w:val="00503860"/>
    <w:rsid w:val="00513A1D"/>
    <w:rsid w:val="00534F35"/>
    <w:rsid w:val="00536188"/>
    <w:rsid w:val="00550D29"/>
    <w:rsid w:val="005720E7"/>
    <w:rsid w:val="00576DE3"/>
    <w:rsid w:val="005876F0"/>
    <w:rsid w:val="00593EC2"/>
    <w:rsid w:val="005958EC"/>
    <w:rsid w:val="0059610C"/>
    <w:rsid w:val="005B68D0"/>
    <w:rsid w:val="005E10CE"/>
    <w:rsid w:val="005E1F0D"/>
    <w:rsid w:val="005E61C6"/>
    <w:rsid w:val="005F1105"/>
    <w:rsid w:val="005F156E"/>
    <w:rsid w:val="005F33BF"/>
    <w:rsid w:val="005F43B6"/>
    <w:rsid w:val="00606853"/>
    <w:rsid w:val="00612A25"/>
    <w:rsid w:val="006246E5"/>
    <w:rsid w:val="00632533"/>
    <w:rsid w:val="00634D53"/>
    <w:rsid w:val="006422B7"/>
    <w:rsid w:val="00654601"/>
    <w:rsid w:val="00665702"/>
    <w:rsid w:val="00666FBD"/>
    <w:rsid w:val="0067737B"/>
    <w:rsid w:val="0068128F"/>
    <w:rsid w:val="006939B2"/>
    <w:rsid w:val="00695BAD"/>
    <w:rsid w:val="006C1D1C"/>
    <w:rsid w:val="006D1EA6"/>
    <w:rsid w:val="006D7617"/>
    <w:rsid w:val="006F1D1E"/>
    <w:rsid w:val="006F69F8"/>
    <w:rsid w:val="00706108"/>
    <w:rsid w:val="00713149"/>
    <w:rsid w:val="00715E84"/>
    <w:rsid w:val="0073033A"/>
    <w:rsid w:val="00747897"/>
    <w:rsid w:val="007502C6"/>
    <w:rsid w:val="00764A4D"/>
    <w:rsid w:val="00764DF6"/>
    <w:rsid w:val="007824EA"/>
    <w:rsid w:val="00791174"/>
    <w:rsid w:val="00793FD5"/>
    <w:rsid w:val="007A0845"/>
    <w:rsid w:val="007A353E"/>
    <w:rsid w:val="007D1A54"/>
    <w:rsid w:val="007E0B09"/>
    <w:rsid w:val="007E22A1"/>
    <w:rsid w:val="007E64AE"/>
    <w:rsid w:val="007E6C75"/>
    <w:rsid w:val="007E7866"/>
    <w:rsid w:val="007F4DBA"/>
    <w:rsid w:val="007F5906"/>
    <w:rsid w:val="007F740A"/>
    <w:rsid w:val="00805B93"/>
    <w:rsid w:val="008127D4"/>
    <w:rsid w:val="00814A22"/>
    <w:rsid w:val="008311E0"/>
    <w:rsid w:val="00843DE4"/>
    <w:rsid w:val="0085285F"/>
    <w:rsid w:val="00853DB5"/>
    <w:rsid w:val="00856DDA"/>
    <w:rsid w:val="0087761D"/>
    <w:rsid w:val="0089747E"/>
    <w:rsid w:val="008A050D"/>
    <w:rsid w:val="008A2F08"/>
    <w:rsid w:val="008A4A6F"/>
    <w:rsid w:val="008B0819"/>
    <w:rsid w:val="008C2326"/>
    <w:rsid w:val="00912335"/>
    <w:rsid w:val="0091277A"/>
    <w:rsid w:val="00920A54"/>
    <w:rsid w:val="00925AEE"/>
    <w:rsid w:val="00927B2A"/>
    <w:rsid w:val="00933A86"/>
    <w:rsid w:val="00955C48"/>
    <w:rsid w:val="00962784"/>
    <w:rsid w:val="009712A0"/>
    <w:rsid w:val="00971F25"/>
    <w:rsid w:val="00976808"/>
    <w:rsid w:val="009801EF"/>
    <w:rsid w:val="00992874"/>
    <w:rsid w:val="00997989"/>
    <w:rsid w:val="009B7294"/>
    <w:rsid w:val="009E6996"/>
    <w:rsid w:val="009F43EB"/>
    <w:rsid w:val="00A30D3A"/>
    <w:rsid w:val="00A33C50"/>
    <w:rsid w:val="00A43478"/>
    <w:rsid w:val="00A51006"/>
    <w:rsid w:val="00A54892"/>
    <w:rsid w:val="00A630AC"/>
    <w:rsid w:val="00A66CFF"/>
    <w:rsid w:val="00A71C9D"/>
    <w:rsid w:val="00A8127F"/>
    <w:rsid w:val="00A81AC0"/>
    <w:rsid w:val="00AA1192"/>
    <w:rsid w:val="00AB1F3B"/>
    <w:rsid w:val="00AB4AF2"/>
    <w:rsid w:val="00AC3FF8"/>
    <w:rsid w:val="00AC4729"/>
    <w:rsid w:val="00AD701A"/>
    <w:rsid w:val="00AF2329"/>
    <w:rsid w:val="00AF6ED6"/>
    <w:rsid w:val="00B021D8"/>
    <w:rsid w:val="00B065C7"/>
    <w:rsid w:val="00B0690D"/>
    <w:rsid w:val="00B07BE2"/>
    <w:rsid w:val="00B3729A"/>
    <w:rsid w:val="00B47944"/>
    <w:rsid w:val="00B571DE"/>
    <w:rsid w:val="00B63298"/>
    <w:rsid w:val="00B64CB1"/>
    <w:rsid w:val="00B7233E"/>
    <w:rsid w:val="00B83E9B"/>
    <w:rsid w:val="00BA1F00"/>
    <w:rsid w:val="00BA7C3C"/>
    <w:rsid w:val="00BC4529"/>
    <w:rsid w:val="00BC7A15"/>
    <w:rsid w:val="00BD107D"/>
    <w:rsid w:val="00BD2800"/>
    <w:rsid w:val="00BD6DD0"/>
    <w:rsid w:val="00BF4AD9"/>
    <w:rsid w:val="00C0441A"/>
    <w:rsid w:val="00C16C87"/>
    <w:rsid w:val="00C30C05"/>
    <w:rsid w:val="00C346E1"/>
    <w:rsid w:val="00C534E6"/>
    <w:rsid w:val="00C60B58"/>
    <w:rsid w:val="00C6465B"/>
    <w:rsid w:val="00C71EDC"/>
    <w:rsid w:val="00C7266E"/>
    <w:rsid w:val="00C734DF"/>
    <w:rsid w:val="00C7663E"/>
    <w:rsid w:val="00C91200"/>
    <w:rsid w:val="00C922E7"/>
    <w:rsid w:val="00CB310B"/>
    <w:rsid w:val="00CC0D6D"/>
    <w:rsid w:val="00CD2170"/>
    <w:rsid w:val="00CF1D41"/>
    <w:rsid w:val="00D14232"/>
    <w:rsid w:val="00D25B32"/>
    <w:rsid w:val="00D263F5"/>
    <w:rsid w:val="00D3710A"/>
    <w:rsid w:val="00D6069C"/>
    <w:rsid w:val="00D6509C"/>
    <w:rsid w:val="00D73584"/>
    <w:rsid w:val="00DA3451"/>
    <w:rsid w:val="00DC2994"/>
    <w:rsid w:val="00DC46C4"/>
    <w:rsid w:val="00DD1672"/>
    <w:rsid w:val="00DD42E4"/>
    <w:rsid w:val="00DD68C3"/>
    <w:rsid w:val="00DF0A66"/>
    <w:rsid w:val="00E14E24"/>
    <w:rsid w:val="00E16043"/>
    <w:rsid w:val="00E16BE9"/>
    <w:rsid w:val="00E16C4C"/>
    <w:rsid w:val="00E25F92"/>
    <w:rsid w:val="00E32F7F"/>
    <w:rsid w:val="00E33676"/>
    <w:rsid w:val="00E56C0E"/>
    <w:rsid w:val="00E656FB"/>
    <w:rsid w:val="00E67125"/>
    <w:rsid w:val="00E6728D"/>
    <w:rsid w:val="00E71647"/>
    <w:rsid w:val="00E75B53"/>
    <w:rsid w:val="00E914B7"/>
    <w:rsid w:val="00E93926"/>
    <w:rsid w:val="00E96EFD"/>
    <w:rsid w:val="00EA3C4A"/>
    <w:rsid w:val="00EC295B"/>
    <w:rsid w:val="00EC6697"/>
    <w:rsid w:val="00ED73F7"/>
    <w:rsid w:val="00EF1191"/>
    <w:rsid w:val="00EF328F"/>
    <w:rsid w:val="00EF5012"/>
    <w:rsid w:val="00F0606D"/>
    <w:rsid w:val="00F2043C"/>
    <w:rsid w:val="00F32862"/>
    <w:rsid w:val="00F3744F"/>
    <w:rsid w:val="00F445AF"/>
    <w:rsid w:val="00F4594E"/>
    <w:rsid w:val="00F52233"/>
    <w:rsid w:val="00F53AAD"/>
    <w:rsid w:val="00F63835"/>
    <w:rsid w:val="00F7331B"/>
    <w:rsid w:val="00F7333F"/>
    <w:rsid w:val="00F7436C"/>
    <w:rsid w:val="00F93CED"/>
    <w:rsid w:val="00FB1235"/>
    <w:rsid w:val="00FB1855"/>
    <w:rsid w:val="00FB43D0"/>
    <w:rsid w:val="00FC1101"/>
    <w:rsid w:val="00FC1A7D"/>
    <w:rsid w:val="00FD2CC1"/>
    <w:rsid w:val="00FF6D37"/>
    <w:rsid w:val="00FF7B7C"/>
    <w:rsid w:val="0CC63AE4"/>
    <w:rsid w:val="15CF3AD9"/>
    <w:rsid w:val="33E71633"/>
    <w:rsid w:val="3F307ACA"/>
    <w:rsid w:val="4F66517B"/>
    <w:rsid w:val="57322816"/>
    <w:rsid w:val="59665267"/>
    <w:rsid w:val="650E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rFonts w:ascii="Heiti SC Light" w:eastAsia="Heiti SC Light"/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table" w:styleId="8">
    <w:name w:val="Table Grid"/>
    <w:basedOn w:val="7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22"/>
    <w:rPr>
      <w:b/>
      <w:bCs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5">
    <w:name w:val="No Spacing"/>
    <w:qFormat/>
    <w:uiPriority w:val="1"/>
    <w:pPr>
      <w:widowControl w:val="0"/>
      <w:spacing w:beforeLines="50"/>
    </w:pPr>
    <w:rPr>
      <w:rFonts w:eastAsia="微软雅黑" w:asciiTheme="minorHAnsi" w:hAnsiTheme="minorHAnsi" w:cstheme="minorBidi"/>
      <w:kern w:val="2"/>
      <w:sz w:val="22"/>
      <w:szCs w:val="2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uiPriority w:val="99"/>
    <w:rPr>
      <w:rFonts w:ascii="Heiti SC Light" w:hAnsi="Times New Roman" w:eastAsia="Heiti SC Light" w:cs="Times New Roman"/>
      <w:sz w:val="18"/>
      <w:szCs w:val="18"/>
    </w:rPr>
  </w:style>
  <w:style w:type="character" w:customStyle="1" w:styleId="17">
    <w:name w:val="批注文字 字符"/>
    <w:basedOn w:val="9"/>
    <w:link w:val="2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主题 字符"/>
    <w:basedOn w:val="17"/>
    <w:link w:val="6"/>
    <w:semiHidden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8757A3-98DB-B04D-9248-36FDAE0262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351</Words>
  <Characters>2003</Characters>
  <Lines>16</Lines>
  <Paragraphs>4</Paragraphs>
  <TotalTime>13</TotalTime>
  <ScaleCrop>false</ScaleCrop>
  <LinksUpToDate>false</LinksUpToDate>
  <CharactersWithSpaces>2350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2020-10-05T05:29:00Z</dcterms:created>
  <dc:creator>User</dc:creator>
  <cp:lastModifiedBy>倩倩</cp:lastModifiedBy>
  <cp:lastPrinted>2019-04-12T04:17:00Z</cp:lastPrinted>
  <dcterms:modified xsi:type="dcterms:W3CDTF">2020-10-06T01:20:20Z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